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961" w:rsidRPr="00F25323" w:rsidRDefault="0087012B" w:rsidP="001926E1">
      <w:pPr>
        <w:spacing w:before="59" w:line="326" w:lineRule="auto"/>
        <w:ind w:right="398"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1926E1">
        <w:rPr>
          <w:rFonts w:ascii="Arial" w:hAnsi="Arial" w:cs="Arial"/>
          <w:b/>
          <w:sz w:val="24"/>
          <w:szCs w:val="24"/>
        </w:rPr>
        <w:t xml:space="preserve"> </w:t>
      </w:r>
      <w:r w:rsidR="007C3961" w:rsidRPr="00F25323">
        <w:rPr>
          <w:rFonts w:ascii="Arial" w:hAnsi="Arial" w:cs="Arial"/>
          <w:b/>
          <w:sz w:val="24"/>
          <w:szCs w:val="24"/>
        </w:rPr>
        <w:t>Table 1.</w:t>
      </w:r>
      <w:r w:rsidR="007C3961" w:rsidRPr="00CE2AD9">
        <w:rPr>
          <w:rFonts w:ascii="Arial" w:hAnsi="Arial" w:cs="Arial"/>
          <w:sz w:val="24"/>
          <w:szCs w:val="24"/>
        </w:rPr>
        <w:t xml:space="preserve"> Comparison of baseline variables between surgery and no surgery </w:t>
      </w:r>
      <w:r w:rsidR="000E0848" w:rsidRPr="00CE2AD9">
        <w:rPr>
          <w:rFonts w:ascii="Arial" w:hAnsi="Arial" w:cs="Arial"/>
          <w:sz w:val="24"/>
          <w:szCs w:val="24"/>
        </w:rPr>
        <w:t xml:space="preserve">group </w:t>
      </w:r>
      <w:r w:rsidR="007C3961" w:rsidRPr="00CE2AD9">
        <w:rPr>
          <w:rFonts w:ascii="Arial" w:hAnsi="Arial" w:cs="Arial"/>
          <w:sz w:val="24"/>
          <w:szCs w:val="24"/>
        </w:rPr>
        <w:t>in the elderly patients with resectable proximal GC from NCDB database</w:t>
      </w:r>
    </w:p>
    <w:p w:rsidR="007C3961" w:rsidRDefault="007C3961" w:rsidP="007C3961">
      <w:pPr>
        <w:pStyle w:val="a5"/>
        <w:spacing w:before="8"/>
        <w:ind w:left="0"/>
        <w:jc w:val="left"/>
        <w:rPr>
          <w:rFonts w:ascii="Times New Roman"/>
          <w:sz w:val="8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226"/>
        <w:gridCol w:w="1236"/>
        <w:gridCol w:w="1301"/>
        <w:gridCol w:w="1644"/>
        <w:gridCol w:w="830"/>
      </w:tblGrid>
      <w:tr w:rsidR="007C3961" w:rsidRPr="007C3961" w:rsidTr="00F25323">
        <w:trPr>
          <w:trHeight w:hRule="exact" w:val="348"/>
        </w:trPr>
        <w:tc>
          <w:tcPr>
            <w:tcW w:w="0" w:type="auto"/>
            <w:vMerge w:val="restart"/>
          </w:tcPr>
          <w:p w:rsidR="007C3961" w:rsidRPr="007C3961" w:rsidRDefault="007C3961" w:rsidP="00F25323">
            <w:pPr>
              <w:pStyle w:val="TableParagraph"/>
              <w:spacing w:before="2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</w:p>
          <w:p w:rsidR="007C3961" w:rsidRPr="007C3961" w:rsidRDefault="00F25323" w:rsidP="00F25323">
            <w:pPr>
              <w:pStyle w:val="TableParagraph"/>
              <w:ind w:left="1163" w:right="116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4"/>
          </w:tcPr>
          <w:p w:rsidR="007C3961" w:rsidRPr="007C3961" w:rsidRDefault="007C3961" w:rsidP="001700E8">
            <w:pPr>
              <w:pStyle w:val="TableParagraph"/>
              <w:spacing w:before="55"/>
              <w:ind w:left="571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Elderly Patients with Resectable Proximal GC</w:t>
            </w:r>
          </w:p>
        </w:tc>
      </w:tr>
      <w:tr w:rsidR="007C3961" w:rsidRPr="007C3961" w:rsidTr="00F25323">
        <w:trPr>
          <w:trHeight w:hRule="exact" w:val="331"/>
        </w:trPr>
        <w:tc>
          <w:tcPr>
            <w:tcW w:w="0" w:type="auto"/>
            <w:vMerge/>
          </w:tcPr>
          <w:p w:rsidR="007C3961" w:rsidRPr="007C3961" w:rsidRDefault="007C3961" w:rsidP="001700E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6"/>
              <w:ind w:left="297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Total (%)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6"/>
              <w:ind w:left="129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Surgery (%)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6"/>
              <w:ind w:left="211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No surgery (%)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2"/>
              <w:ind w:right="101"/>
              <w:jc w:val="righ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CE2AD9">
              <w:rPr>
                <w:rFonts w:ascii="Arial" w:hAnsi="Arial" w:cs="Arial"/>
                <w:b/>
                <w:i/>
                <w:position w:val="-6"/>
                <w:sz w:val="20"/>
                <w:szCs w:val="20"/>
              </w:rPr>
              <w:t>P</w:t>
            </w:r>
            <w:r w:rsidRPr="007C3961">
              <w:rPr>
                <w:rFonts w:ascii="Arial" w:hAnsi="Arial" w:cs="Arial"/>
                <w:b/>
                <w:i/>
                <w:sz w:val="20"/>
                <w:szCs w:val="20"/>
              </w:rPr>
              <w:t>#</w:t>
            </w:r>
          </w:p>
        </w:tc>
      </w:tr>
      <w:tr w:rsidR="007C3961" w:rsidRPr="007C3961" w:rsidTr="00F25323">
        <w:trPr>
          <w:trHeight w:hRule="exact" w:val="331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tabs>
                <w:tab w:val="left" w:pos="1620"/>
              </w:tabs>
              <w:spacing w:before="43"/>
              <w:ind w:left="1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Age, year</w:t>
            </w:r>
            <w:r w:rsidRPr="007C3961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7C3961">
              <w:rPr>
                <w:rFonts w:ascii="Arial" w:hAnsi="Arial" w:cs="Arial"/>
                <w:sz w:val="20"/>
                <w:szCs w:val="20"/>
              </w:rPr>
              <w:t>Mean ±</w:t>
            </w:r>
            <w:r w:rsidRPr="007C396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7C3961">
              <w:rPr>
                <w:rFonts w:ascii="Arial" w:hAnsi="Arial" w:cs="Arial"/>
                <w:sz w:val="20"/>
                <w:szCs w:val="20"/>
              </w:rPr>
              <w:t>SD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3"/>
              <w:ind w:left="32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83.6 ± 3.0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3"/>
              <w:ind w:left="39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83.4 ± 2.9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3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84.8 ± 3.5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74" w:lineRule="exact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eastAsia="宋体" w:hAnsi="Arial" w:cs="Arial"/>
                <w:sz w:val="20"/>
                <w:szCs w:val="20"/>
              </w:rPr>
              <w:t>＜</w:t>
            </w:r>
            <w:r w:rsidRPr="007C3961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w w:val="98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1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</w:tr>
      <w:tr w:rsidR="007C3961" w:rsidRPr="007C3961" w:rsidTr="00F25323">
        <w:trPr>
          <w:trHeight w:hRule="exact" w:val="324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2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1626 (65.5)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2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1422 (66.6)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204 (58.3)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858 (34.5)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712 (33.4)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146 (41.7)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Race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69" w:lineRule="exact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eastAsia="宋体" w:hAnsi="Arial" w:cs="Arial"/>
                <w:sz w:val="20"/>
                <w:szCs w:val="20"/>
              </w:rPr>
              <w:t>＜</w:t>
            </w:r>
            <w:r w:rsidRPr="007C3961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White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2243 (91.9)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1950 (92.8)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293 (86.2)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Black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3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128 (5.2)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5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92 (4.4)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36 (10.6)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Asian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3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69 (2.9)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5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58 (2.8)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11 (3.2)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4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3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CDCI</w:t>
            </w:r>
            <w:r w:rsidR="004C603B">
              <w:rPr>
                <w:rFonts w:ascii="Arial" w:hAnsi="Arial" w:cs="Arial"/>
                <w:b/>
                <w:sz w:val="20"/>
                <w:szCs w:val="20"/>
              </w:rPr>
              <w:t xml:space="preserve"> Score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1640 (66.0)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1423 (66.7)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217 (62.0)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579 (23.3)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492 (23.0)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87 (24.9)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≥2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265 (10.7)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219 (10.3)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46 (13.1)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Tumor size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69" w:lineRule="exact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≤2cm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574 (30.1)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531 (30.3)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43 (27.2)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4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2-4cm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613 (32.1)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547 (31.3)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66 (41.8)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4-6cm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412 (21.6)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382 (21.8)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30 (19.0)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69" w:lineRule="exact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eastAsia="宋体" w:hAnsi="Arial" w:cs="Arial"/>
                <w:sz w:val="20"/>
                <w:szCs w:val="20"/>
              </w:rPr>
              <w:t>＞</w:t>
            </w:r>
            <w:r w:rsidRPr="007C3961">
              <w:rPr>
                <w:rFonts w:ascii="Arial" w:hAnsi="Arial" w:cs="Arial"/>
                <w:sz w:val="20"/>
                <w:szCs w:val="20"/>
              </w:rPr>
              <w:t>6cm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309 (16.2)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290 (16.6)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19 (12.0)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tabs>
                <w:tab w:val="left" w:pos="1569"/>
              </w:tabs>
              <w:spacing w:before="41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Differentiation</w:t>
            </w:r>
            <w:r w:rsidRPr="007C3961">
              <w:rPr>
                <w:rFonts w:ascii="Arial" w:hAnsi="Arial" w:cs="Arial"/>
                <w:b/>
                <w:sz w:val="20"/>
                <w:szCs w:val="20"/>
              </w:rPr>
              <w:tab/>
              <w:t>grade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Well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3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195 (9.2)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467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178 (9.7)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17 (6.0)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Moderately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869 (41.2)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737 (40.3)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132 (46.6)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4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Poorly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998 (47.3)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869 (47.6)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129 (45.6)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Undifferentiated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3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48 (2.3)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5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43 (2.4)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 (1.8)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Analytic TNM stage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0.34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Stage 0-I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1131 (51.3)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1027 (51.8)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104 (46.8)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Stage II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482 (21.9)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427 (21.6)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55 (24.8)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Stage III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591 (26.8)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528 (26.6)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63 (28.4)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4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3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Chemotherapy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6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71" w:lineRule="exact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eastAsia="宋体" w:hAnsi="Arial" w:cs="Arial"/>
                <w:sz w:val="20"/>
                <w:szCs w:val="20"/>
              </w:rPr>
              <w:t>＜</w:t>
            </w:r>
            <w:r w:rsidRPr="007C3961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1992 (80.2)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1736 (81.3)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256 (73.1)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492 (19.8)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398 (18.7)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94 (26.9)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41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7C3961">
              <w:rPr>
                <w:rFonts w:ascii="Arial" w:hAnsi="Arial" w:cs="Arial"/>
                <w:b/>
                <w:sz w:val="20"/>
                <w:szCs w:val="20"/>
              </w:rPr>
              <w:t>Radiotherapy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69" w:lineRule="exact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eastAsia="宋体" w:hAnsi="Arial" w:cs="Arial"/>
                <w:sz w:val="20"/>
                <w:szCs w:val="20"/>
              </w:rPr>
              <w:t>＜</w:t>
            </w:r>
            <w:r w:rsidRPr="007C3961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03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2056 (82.8)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268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1816 (85.1)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240 (68.6)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  <w:tr w:rsidR="007C3961" w:rsidRPr="007C3961" w:rsidTr="00F25323">
        <w:trPr>
          <w:trHeight w:hRule="exact" w:val="322"/>
        </w:trPr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2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04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428 (17.2)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left="369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318 (14.9)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before="39"/>
              <w:ind w:right="10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sz w:val="20"/>
                <w:szCs w:val="20"/>
              </w:rPr>
              <w:t>110 (31.4)</w:t>
            </w:r>
          </w:p>
        </w:tc>
        <w:tc>
          <w:tcPr>
            <w:tcW w:w="0" w:type="auto"/>
          </w:tcPr>
          <w:p w:rsidR="007C3961" w:rsidRPr="007C3961" w:rsidRDefault="007C3961" w:rsidP="001700E8">
            <w:pPr>
              <w:pStyle w:val="TableParagraph"/>
              <w:spacing w:line="254" w:lineRule="exact"/>
              <w:ind w:right="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3961"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</w:p>
        </w:tc>
      </w:tr>
    </w:tbl>
    <w:p w:rsidR="007C3961" w:rsidRPr="007C3961" w:rsidRDefault="007C3961" w:rsidP="007C3961">
      <w:pPr>
        <w:pStyle w:val="a5"/>
        <w:spacing w:before="6"/>
        <w:ind w:left="0"/>
        <w:jc w:val="left"/>
        <w:rPr>
          <w:rFonts w:ascii="Arial" w:hAnsi="Arial" w:cs="Arial"/>
          <w:sz w:val="20"/>
          <w:szCs w:val="20"/>
        </w:rPr>
      </w:pPr>
    </w:p>
    <w:p w:rsidR="000E15E9" w:rsidRPr="007C3961" w:rsidRDefault="007C3961" w:rsidP="000E15E9">
      <w:pPr>
        <w:spacing w:before="74" w:line="326" w:lineRule="auto"/>
        <w:ind w:left="228" w:right="726"/>
        <w:rPr>
          <w:rFonts w:ascii="Arial" w:hAnsi="Arial" w:cs="Arial"/>
          <w:sz w:val="20"/>
          <w:szCs w:val="20"/>
        </w:rPr>
        <w:sectPr w:rsidR="000E15E9" w:rsidRPr="007C3961">
          <w:pgSz w:w="11910" w:h="16840"/>
          <w:pgMar w:top="1540" w:right="1680" w:bottom="280" w:left="1680" w:header="720" w:footer="720" w:gutter="0"/>
          <w:cols w:space="720"/>
        </w:sectPr>
      </w:pPr>
      <w:r w:rsidRPr="007C3961">
        <w:rPr>
          <w:rFonts w:ascii="Arial" w:hAnsi="Arial" w:cs="Arial"/>
          <w:b/>
          <w:sz w:val="20"/>
          <w:szCs w:val="20"/>
        </w:rPr>
        <w:t xml:space="preserve">Note. </w:t>
      </w:r>
      <w:r w:rsidRPr="007C3961">
        <w:rPr>
          <w:rFonts w:ascii="Arial" w:hAnsi="Arial" w:cs="Arial"/>
          <w:sz w:val="20"/>
          <w:szCs w:val="20"/>
        </w:rPr>
        <w:t>Data were given as number (%) unless otherwise noted, missing data existed in different variables; GC: Gastric Carcinoma; NCDB: National Cancer Database; CDCI: Charlson-Deyo Comorbidit</w:t>
      </w:r>
      <w:r w:rsidR="002C323D">
        <w:rPr>
          <w:rFonts w:ascii="Arial" w:hAnsi="Arial" w:cs="Arial"/>
          <w:sz w:val="20"/>
          <w:szCs w:val="20"/>
        </w:rPr>
        <w:t>y Index.</w:t>
      </w:r>
      <w:r w:rsidR="00CA055F">
        <w:rPr>
          <w:rFonts w:ascii="Arial" w:hAnsi="Arial" w:cs="Arial"/>
          <w:sz w:val="20"/>
          <w:szCs w:val="20"/>
        </w:rPr>
        <w:t xml:space="preserve"> </w:t>
      </w:r>
      <w:r w:rsidR="000E15E9">
        <w:rPr>
          <w:rFonts w:ascii="Arial" w:hAnsi="Arial" w:cs="Arial"/>
          <w:sz w:val="20"/>
          <w:szCs w:val="20"/>
        </w:rPr>
        <w:t>TNM</w:t>
      </w:r>
      <w:r w:rsidR="000E15E9" w:rsidRPr="00CA055F">
        <w:rPr>
          <w:rFonts w:ascii="Arial" w:hAnsi="Arial" w:cs="Arial"/>
          <w:sz w:val="20"/>
          <w:szCs w:val="20"/>
        </w:rPr>
        <w:t xml:space="preserve"> </w:t>
      </w:r>
      <w:r w:rsidR="000E15E9">
        <w:rPr>
          <w:rFonts w:ascii="Arial" w:hAnsi="Arial" w:cs="Arial"/>
          <w:sz w:val="20"/>
          <w:szCs w:val="20"/>
        </w:rPr>
        <w:t>w</w:t>
      </w:r>
      <w:r w:rsidR="000E15E9" w:rsidRPr="00CA055F">
        <w:rPr>
          <w:rFonts w:ascii="Arial" w:hAnsi="Arial" w:cs="Arial"/>
          <w:sz w:val="20"/>
          <w:szCs w:val="20"/>
        </w:rPr>
        <w:t>as</w:t>
      </w:r>
      <w:r w:rsidR="000E15E9">
        <w:rPr>
          <w:rFonts w:ascii="Arial" w:hAnsi="Arial" w:cs="Arial"/>
          <w:sz w:val="20"/>
          <w:szCs w:val="20"/>
        </w:rPr>
        <w:t xml:space="preserve"> based on the T,</w:t>
      </w:r>
      <w:r w:rsidR="000E15E9">
        <w:rPr>
          <w:rFonts w:ascii="Arial" w:hAnsi="Arial" w:cs="Arial" w:hint="eastAsia"/>
          <w:sz w:val="20"/>
          <w:szCs w:val="20"/>
        </w:rPr>
        <w:t xml:space="preserve"> </w:t>
      </w:r>
      <w:r w:rsidR="000E15E9" w:rsidRPr="000E15E9">
        <w:rPr>
          <w:rFonts w:ascii="Arial" w:hAnsi="Arial" w:cs="Arial"/>
          <w:sz w:val="20"/>
          <w:szCs w:val="20"/>
        </w:rPr>
        <w:t xml:space="preserve">N, and M elements </w:t>
      </w:r>
      <w:r w:rsidR="000E15E9" w:rsidRPr="00CA055F">
        <w:rPr>
          <w:rFonts w:ascii="Arial" w:hAnsi="Arial" w:cs="Arial"/>
          <w:sz w:val="20"/>
          <w:szCs w:val="20"/>
        </w:rPr>
        <w:t>defined by the American Joint Committee on Cancer (AJCC)</w:t>
      </w:r>
      <w:r w:rsidR="000E15E9">
        <w:rPr>
          <w:rFonts w:ascii="Arial" w:hAnsi="Arial" w:cs="Arial"/>
          <w:sz w:val="20"/>
          <w:szCs w:val="20"/>
        </w:rPr>
        <w:t>, the 7</w:t>
      </w:r>
      <w:r w:rsidR="000E15E9" w:rsidRPr="000E15E9">
        <w:rPr>
          <w:rFonts w:ascii="Arial" w:hAnsi="Arial" w:cs="Arial"/>
          <w:sz w:val="20"/>
          <w:szCs w:val="20"/>
          <w:vertAlign w:val="superscript"/>
        </w:rPr>
        <w:t>th</w:t>
      </w:r>
      <w:r w:rsidR="000E15E9">
        <w:rPr>
          <w:rFonts w:ascii="Arial" w:hAnsi="Arial" w:cs="Arial"/>
          <w:sz w:val="20"/>
          <w:szCs w:val="20"/>
        </w:rPr>
        <w:t xml:space="preserve"> edition.</w:t>
      </w:r>
    </w:p>
    <w:p w:rsidR="00CA055F" w:rsidRPr="00CA055F" w:rsidRDefault="00CA055F" w:rsidP="000E15E9">
      <w:pPr>
        <w:spacing w:before="74" w:line="326" w:lineRule="auto"/>
        <w:ind w:right="726"/>
        <w:rPr>
          <w:rFonts w:ascii="Arial" w:hAnsi="Arial" w:cs="Arial"/>
          <w:sz w:val="20"/>
          <w:szCs w:val="20"/>
        </w:rPr>
      </w:pPr>
      <w:r w:rsidRPr="00CA055F">
        <w:rPr>
          <w:rFonts w:ascii="Arial" w:hAnsi="Arial" w:cs="Arial"/>
          <w:sz w:val="20"/>
          <w:szCs w:val="20"/>
        </w:rPr>
        <w:lastRenderedPageBreak/>
        <w:t xml:space="preserve">Analytic </w:t>
      </w:r>
      <w:r>
        <w:rPr>
          <w:rFonts w:ascii="Arial" w:hAnsi="Arial" w:cs="Arial"/>
          <w:sz w:val="20"/>
          <w:szCs w:val="20"/>
        </w:rPr>
        <w:t xml:space="preserve">TNM </w:t>
      </w:r>
      <w:r w:rsidRPr="00CA055F">
        <w:rPr>
          <w:rFonts w:ascii="Arial" w:hAnsi="Arial" w:cs="Arial"/>
          <w:sz w:val="20"/>
          <w:szCs w:val="20"/>
        </w:rPr>
        <w:t>Stage Group is assigned the value of r</w:t>
      </w:r>
      <w:r>
        <w:rPr>
          <w:rFonts w:ascii="Arial" w:hAnsi="Arial" w:cs="Arial"/>
          <w:sz w:val="20"/>
          <w:szCs w:val="20"/>
        </w:rPr>
        <w:t>eported Pathologic Stage Group.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CA055F">
        <w:rPr>
          <w:rFonts w:ascii="Arial" w:hAnsi="Arial" w:cs="Arial"/>
          <w:sz w:val="20"/>
          <w:szCs w:val="20"/>
        </w:rPr>
        <w:t>Clinical Stage Group is used if pathologic stage is not reported.</w:t>
      </w:r>
      <w:r w:rsidR="002C323D">
        <w:rPr>
          <w:rFonts w:ascii="Arial" w:hAnsi="Arial" w:cs="Arial"/>
          <w:sz w:val="20"/>
          <w:szCs w:val="20"/>
        </w:rPr>
        <w:t xml:space="preserve"> #: P value for χ2 tes</w:t>
      </w:r>
      <w:r w:rsidR="000245BC">
        <w:rPr>
          <w:rFonts w:ascii="Arial" w:hAnsi="Arial" w:cs="Arial"/>
          <w:sz w:val="20"/>
          <w:szCs w:val="20"/>
        </w:rPr>
        <w:t>t.</w:t>
      </w:r>
      <w:r>
        <w:rPr>
          <w:rFonts w:ascii="Arial" w:hAnsi="Arial" w:cs="Arial"/>
          <w:sz w:val="20"/>
          <w:szCs w:val="20"/>
        </w:rPr>
        <w:t xml:space="preserve"> </w:t>
      </w:r>
    </w:p>
    <w:p w:rsidR="00E91C20" w:rsidRDefault="00E91C20"/>
    <w:p w:rsidR="00CA055F" w:rsidRDefault="00CA055F"/>
    <w:p w:rsidR="00CA055F" w:rsidRDefault="00CA055F"/>
    <w:tbl>
      <w:tblPr>
        <w:tblW w:w="6480" w:type="dxa"/>
        <w:tblLook w:val="04A0" w:firstRow="1" w:lastRow="0" w:firstColumn="1" w:lastColumn="0" w:noHBand="0" w:noVBand="1"/>
      </w:tblPr>
      <w:tblGrid>
        <w:gridCol w:w="3931"/>
        <w:gridCol w:w="2549"/>
      </w:tblGrid>
      <w:tr w:rsidR="00AC073E" w:rsidRPr="00AC073E" w:rsidTr="00AC073E">
        <w:trPr>
          <w:trHeight w:val="699"/>
        </w:trPr>
        <w:tc>
          <w:tcPr>
            <w:tcW w:w="6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C073E" w:rsidRPr="00AC073E" w:rsidRDefault="0087012B" w:rsidP="00CE2AD9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Supplementary</w:t>
            </w:r>
            <w:r w:rsidR="001926E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91C2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Table 2</w:t>
            </w:r>
            <w:r w:rsidR="00AC073E"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 w:rsidR="00AC073E" w:rsidRPr="00CE2AD9">
              <w:rPr>
                <w:rFonts w:ascii="Arial" w:eastAsia="宋体" w:hAnsi="Arial" w:cs="Arial"/>
                <w:bCs/>
                <w:color w:val="000000"/>
                <w:kern w:val="0"/>
                <w:sz w:val="24"/>
                <w:szCs w:val="24"/>
              </w:rPr>
              <w:t>Treatment strategy of elderly patients with resectable proximal GC from NCDB database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Treatment strategy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Number of patients (%)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2134 (100)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Surgery alone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1683 (78.9)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Surgery plus chemotherapy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133 (6.2)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Neoadjuvant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Adjuvant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Unknown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Surgery plus radiotherapy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 (2.5)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Neoadjuvant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Adjuvant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Unknown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Surgery plus chemoradiotherapy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265 (12.4)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Neoadjuvant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Adjuvant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132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     Unknown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350 (100)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Chemotherapy alone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 (4.9)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Radiotherapy alone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33 (9.4)  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Chemoradiotherapy alone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AC073E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 (22.0)</w:t>
            </w:r>
          </w:p>
        </w:tc>
      </w:tr>
      <w:tr w:rsidR="00AC073E" w:rsidRPr="00AC073E" w:rsidTr="00AC073E">
        <w:trPr>
          <w:trHeight w:val="399"/>
        </w:trPr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    No treatment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073E" w:rsidRPr="00AC073E" w:rsidRDefault="00556284" w:rsidP="00AC073E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  <w:r w:rsidR="00AC073E"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 (63.7)</w:t>
            </w:r>
          </w:p>
        </w:tc>
      </w:tr>
      <w:tr w:rsidR="00AC073E" w:rsidRPr="00AC073E" w:rsidTr="00AC073E">
        <w:trPr>
          <w:trHeight w:val="399"/>
        </w:trPr>
        <w:tc>
          <w:tcPr>
            <w:tcW w:w="6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73E" w:rsidRPr="00AC073E" w:rsidRDefault="00AC073E" w:rsidP="00AC073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AC073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Note.</w:t>
            </w:r>
            <w:r w:rsidRPr="00AC073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GC: Gastric carcinoma; NCDB: National Cancer Database.</w:t>
            </w:r>
          </w:p>
        </w:tc>
      </w:tr>
    </w:tbl>
    <w:p w:rsidR="002E4B9F" w:rsidRPr="00AC073E" w:rsidRDefault="002E4B9F"/>
    <w:p w:rsidR="00193A78" w:rsidRDefault="00193A78"/>
    <w:p w:rsidR="00193A78" w:rsidRDefault="00193A78"/>
    <w:p w:rsidR="00193A78" w:rsidRDefault="00193A78"/>
    <w:p w:rsidR="00193A78" w:rsidRDefault="00193A78"/>
    <w:p w:rsidR="00193A78" w:rsidRDefault="00193A78"/>
    <w:p w:rsidR="00CA055F" w:rsidRDefault="00CA055F"/>
    <w:p w:rsidR="000E15E9" w:rsidRDefault="000E15E9"/>
    <w:p w:rsidR="000E15E9" w:rsidRDefault="000E15E9"/>
    <w:p w:rsidR="00A375F6" w:rsidRDefault="0087012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1926E1">
        <w:rPr>
          <w:rFonts w:ascii="Arial" w:hAnsi="Arial" w:cs="Arial"/>
          <w:b/>
          <w:sz w:val="24"/>
          <w:szCs w:val="24"/>
        </w:rPr>
        <w:t xml:space="preserve"> </w:t>
      </w:r>
      <w:r w:rsidR="00DE11EC" w:rsidRPr="00DE11EC">
        <w:rPr>
          <w:rFonts w:ascii="Arial" w:hAnsi="Arial" w:cs="Arial"/>
          <w:b/>
          <w:sz w:val="24"/>
          <w:szCs w:val="24"/>
        </w:rPr>
        <w:t>Figure 1</w:t>
      </w:r>
    </w:p>
    <w:p w:rsidR="008E6962" w:rsidRDefault="008E6962">
      <w:pPr>
        <w:rPr>
          <w:rFonts w:ascii="Arial" w:hAnsi="Arial" w:cs="Arial"/>
          <w:b/>
          <w:sz w:val="24"/>
          <w:szCs w:val="24"/>
        </w:rPr>
      </w:pPr>
    </w:p>
    <w:p w:rsidR="00044DA7" w:rsidRDefault="00D134CD">
      <w:r>
        <w:rPr>
          <w:noProof/>
        </w:rPr>
        <w:drawing>
          <wp:inline distT="0" distB="0" distL="0" distR="0">
            <wp:extent cx="5274310" cy="38703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DA7" w:rsidRDefault="00044DA7" w:rsidP="002F2A25">
      <w:pPr>
        <w:spacing w:line="480" w:lineRule="auto"/>
      </w:pPr>
    </w:p>
    <w:p w:rsidR="0006151A" w:rsidRPr="0006151A" w:rsidRDefault="00044DA7" w:rsidP="0089538E">
      <w:pPr>
        <w:spacing w:line="480" w:lineRule="auto"/>
        <w:rPr>
          <w:sz w:val="24"/>
          <w:szCs w:val="24"/>
        </w:rPr>
      </w:pPr>
      <w:r w:rsidRPr="00543A90">
        <w:rPr>
          <w:b/>
          <w:sz w:val="24"/>
          <w:szCs w:val="24"/>
        </w:rPr>
        <w:t>Figure legend</w:t>
      </w:r>
      <w:r w:rsidR="002F2A25" w:rsidRPr="00543A90">
        <w:rPr>
          <w:b/>
          <w:sz w:val="24"/>
          <w:szCs w:val="24"/>
        </w:rPr>
        <w:t>s</w:t>
      </w:r>
      <w:r w:rsidRPr="00543A90">
        <w:rPr>
          <w:b/>
          <w:sz w:val="24"/>
          <w:szCs w:val="24"/>
        </w:rPr>
        <w:t>:</w:t>
      </w:r>
      <w:r w:rsidR="0006151A">
        <w:rPr>
          <w:sz w:val="24"/>
          <w:szCs w:val="24"/>
        </w:rPr>
        <w:t xml:space="preserve"> </w:t>
      </w:r>
      <w:r w:rsidR="0005413F">
        <w:rPr>
          <w:b/>
          <w:sz w:val="24"/>
          <w:szCs w:val="24"/>
        </w:rPr>
        <w:t>a-b</w:t>
      </w:r>
      <w:r w:rsidRPr="00543A90">
        <w:rPr>
          <w:b/>
          <w:sz w:val="24"/>
          <w:szCs w:val="24"/>
        </w:rPr>
        <w:t>:</w:t>
      </w:r>
      <w:r w:rsidR="00A42187" w:rsidRPr="00543A90">
        <w:rPr>
          <w:b/>
          <w:sz w:val="24"/>
          <w:szCs w:val="24"/>
        </w:rPr>
        <w:t xml:space="preserve"> </w:t>
      </w:r>
      <w:r w:rsidR="0006151A" w:rsidRPr="00265CC4">
        <w:rPr>
          <w:sz w:val="24"/>
          <w:szCs w:val="24"/>
        </w:rPr>
        <w:t>Postoperative 30</w:t>
      </w:r>
      <w:r w:rsidR="0006151A" w:rsidRPr="00265CC4">
        <w:rPr>
          <w:rFonts w:hint="eastAsia"/>
          <w:sz w:val="24"/>
          <w:szCs w:val="24"/>
        </w:rPr>
        <w:t>-</w:t>
      </w:r>
      <w:r w:rsidR="0006151A" w:rsidRPr="00265CC4">
        <w:rPr>
          <w:sz w:val="24"/>
          <w:szCs w:val="24"/>
        </w:rPr>
        <w:t xml:space="preserve">day </w:t>
      </w:r>
      <w:r w:rsidR="0006151A">
        <w:rPr>
          <w:sz w:val="24"/>
          <w:szCs w:val="24"/>
        </w:rPr>
        <w:t xml:space="preserve">and 90-day </w:t>
      </w:r>
      <w:r w:rsidR="0006151A" w:rsidRPr="00265CC4">
        <w:rPr>
          <w:sz w:val="24"/>
          <w:szCs w:val="24"/>
        </w:rPr>
        <w:t>mortality in</w:t>
      </w:r>
      <w:r w:rsidR="0006151A" w:rsidRPr="00265CC4">
        <w:rPr>
          <w:rFonts w:hint="eastAsia"/>
          <w:sz w:val="24"/>
          <w:szCs w:val="24"/>
        </w:rPr>
        <w:t xml:space="preserve"> </w:t>
      </w:r>
      <w:r w:rsidR="0006151A">
        <w:rPr>
          <w:sz w:val="24"/>
          <w:szCs w:val="24"/>
        </w:rPr>
        <w:t>different age groups of patients with resectable proximal gastric carcinoma (</w:t>
      </w:r>
      <w:r w:rsidR="00CC4956">
        <w:rPr>
          <w:sz w:val="24"/>
          <w:szCs w:val="24"/>
        </w:rPr>
        <w:t>P</w:t>
      </w:r>
      <w:r w:rsidR="0006151A">
        <w:rPr>
          <w:sz w:val="24"/>
          <w:szCs w:val="24"/>
        </w:rPr>
        <w:t xml:space="preserve">GC). </w:t>
      </w:r>
      <w:r w:rsidR="0005413F">
        <w:rPr>
          <w:b/>
          <w:sz w:val="24"/>
          <w:szCs w:val="24"/>
        </w:rPr>
        <w:t>c-d</w:t>
      </w:r>
      <w:r w:rsidR="0006151A" w:rsidRPr="006B23FF">
        <w:rPr>
          <w:b/>
          <w:sz w:val="24"/>
          <w:szCs w:val="24"/>
        </w:rPr>
        <w:t>:</w:t>
      </w:r>
      <w:r w:rsidR="0006151A">
        <w:rPr>
          <w:sz w:val="24"/>
          <w:szCs w:val="24"/>
        </w:rPr>
        <w:t xml:space="preserve"> </w:t>
      </w:r>
      <w:r w:rsidR="0006151A" w:rsidRPr="00265CC4">
        <w:rPr>
          <w:sz w:val="24"/>
          <w:szCs w:val="24"/>
        </w:rPr>
        <w:t>Postoperative 30</w:t>
      </w:r>
      <w:r w:rsidR="0006151A" w:rsidRPr="00265CC4">
        <w:rPr>
          <w:rFonts w:hint="eastAsia"/>
          <w:sz w:val="24"/>
          <w:szCs w:val="24"/>
        </w:rPr>
        <w:t>-</w:t>
      </w:r>
      <w:r w:rsidR="0006151A" w:rsidRPr="00265CC4">
        <w:rPr>
          <w:sz w:val="24"/>
          <w:szCs w:val="24"/>
        </w:rPr>
        <w:t xml:space="preserve">day </w:t>
      </w:r>
      <w:r w:rsidR="0006151A">
        <w:rPr>
          <w:sz w:val="24"/>
          <w:szCs w:val="24"/>
        </w:rPr>
        <w:t xml:space="preserve">and 90-day </w:t>
      </w:r>
      <w:r w:rsidR="0006151A" w:rsidRPr="00265CC4">
        <w:rPr>
          <w:sz w:val="24"/>
          <w:szCs w:val="24"/>
        </w:rPr>
        <w:t xml:space="preserve">mortality </w:t>
      </w:r>
      <w:r w:rsidR="0006151A">
        <w:rPr>
          <w:sz w:val="24"/>
          <w:szCs w:val="24"/>
        </w:rPr>
        <w:t xml:space="preserve">of elderly patients with resectable </w:t>
      </w:r>
      <w:r w:rsidR="00CC4956">
        <w:rPr>
          <w:sz w:val="24"/>
          <w:szCs w:val="24"/>
        </w:rPr>
        <w:t>P</w:t>
      </w:r>
      <w:r w:rsidR="0006151A">
        <w:rPr>
          <w:sz w:val="24"/>
          <w:szCs w:val="24"/>
        </w:rPr>
        <w:t xml:space="preserve">GC treated in different </w:t>
      </w:r>
      <w:r w:rsidR="0089538E">
        <w:rPr>
          <w:sz w:val="24"/>
          <w:szCs w:val="24"/>
        </w:rPr>
        <w:t>facility</w:t>
      </w:r>
      <w:r w:rsidR="0006151A">
        <w:rPr>
          <w:sz w:val="24"/>
          <w:szCs w:val="24"/>
        </w:rPr>
        <w:t>.</w:t>
      </w:r>
      <w:r w:rsidR="0089538E">
        <w:rPr>
          <w:sz w:val="24"/>
          <w:szCs w:val="24"/>
        </w:rPr>
        <w:t xml:space="preserve"> </w:t>
      </w:r>
    </w:p>
    <w:p w:rsidR="00203DF5" w:rsidRPr="00CC4956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203DF5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203DF5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203DF5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203DF5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203DF5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203DF5" w:rsidRDefault="0087012B" w:rsidP="00203DF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bookmarkStart w:id="0" w:name="_GoBack"/>
      <w:bookmarkEnd w:id="0"/>
      <w:r w:rsidR="008E6962">
        <w:rPr>
          <w:rFonts w:ascii="Arial" w:hAnsi="Arial" w:cs="Arial"/>
          <w:b/>
          <w:sz w:val="24"/>
          <w:szCs w:val="24"/>
        </w:rPr>
        <w:t xml:space="preserve"> Figure 2</w:t>
      </w:r>
    </w:p>
    <w:p w:rsidR="00203DF5" w:rsidRDefault="001F0DDE" w:rsidP="00203DF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5054346" cy="381609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ure 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346" cy="381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766" w:rsidRPr="005D5766" w:rsidRDefault="00085916" w:rsidP="005D5766">
      <w:pPr>
        <w:spacing w:line="480" w:lineRule="auto"/>
        <w:rPr>
          <w:rFonts w:ascii="Arial" w:hAnsi="Arial" w:cs="Arial"/>
          <w:sz w:val="20"/>
          <w:szCs w:val="20"/>
        </w:rPr>
      </w:pPr>
      <w:r w:rsidRPr="006F177E">
        <w:rPr>
          <w:b/>
          <w:sz w:val="24"/>
          <w:szCs w:val="24"/>
        </w:rPr>
        <w:t>Figure legends:</w:t>
      </w:r>
      <w:r w:rsidRPr="006F177E">
        <w:rPr>
          <w:sz w:val="24"/>
          <w:szCs w:val="24"/>
        </w:rPr>
        <w:t xml:space="preserve"> </w:t>
      </w:r>
      <w:r w:rsidR="005D5766" w:rsidRPr="00775BD6">
        <w:rPr>
          <w:sz w:val="24"/>
          <w:szCs w:val="24"/>
        </w:rPr>
        <w:t xml:space="preserve">Kaplan-Meier survival curve </w:t>
      </w:r>
      <w:r w:rsidR="005D5766">
        <w:t xml:space="preserve">of elderly patients with </w:t>
      </w:r>
      <w:r w:rsidR="005D5766">
        <w:rPr>
          <w:sz w:val="24"/>
          <w:szCs w:val="24"/>
        </w:rPr>
        <w:t xml:space="preserve">resectable proximal gastric carcinoma </w:t>
      </w:r>
      <w:r w:rsidR="00A75C69">
        <w:rPr>
          <w:sz w:val="24"/>
          <w:szCs w:val="24"/>
        </w:rPr>
        <w:t>treated in different facility</w:t>
      </w:r>
      <w:r w:rsidR="005D5766">
        <w:rPr>
          <w:sz w:val="24"/>
          <w:szCs w:val="24"/>
        </w:rPr>
        <w:t>.</w:t>
      </w:r>
    </w:p>
    <w:p w:rsidR="00203DF5" w:rsidRPr="005D5766" w:rsidRDefault="00203DF5" w:rsidP="002F2A25">
      <w:pPr>
        <w:spacing w:line="480" w:lineRule="auto"/>
        <w:rPr>
          <w:rFonts w:ascii="Arial" w:hAnsi="Arial" w:cs="Arial"/>
          <w:sz w:val="20"/>
          <w:szCs w:val="20"/>
        </w:rPr>
      </w:pPr>
    </w:p>
    <w:p w:rsidR="00044DA7" w:rsidRPr="00044DA7" w:rsidRDefault="00044DA7"/>
    <w:sectPr w:rsidR="00044DA7" w:rsidRPr="00044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CC7" w:rsidRDefault="00EB3CC7" w:rsidP="00357BD1">
      <w:r>
        <w:separator/>
      </w:r>
    </w:p>
  </w:endnote>
  <w:endnote w:type="continuationSeparator" w:id="0">
    <w:p w:rsidR="00EB3CC7" w:rsidRDefault="00EB3CC7" w:rsidP="00357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CC7" w:rsidRDefault="00EB3CC7" w:rsidP="00357BD1">
      <w:r>
        <w:separator/>
      </w:r>
    </w:p>
  </w:footnote>
  <w:footnote w:type="continuationSeparator" w:id="0">
    <w:p w:rsidR="00EB3CC7" w:rsidRDefault="00EB3CC7" w:rsidP="00357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F9E"/>
    <w:rsid w:val="00021F6E"/>
    <w:rsid w:val="000245BC"/>
    <w:rsid w:val="00044DA7"/>
    <w:rsid w:val="0005413F"/>
    <w:rsid w:val="0006151A"/>
    <w:rsid w:val="00080670"/>
    <w:rsid w:val="00085916"/>
    <w:rsid w:val="00093AF4"/>
    <w:rsid w:val="000E0848"/>
    <w:rsid w:val="000E15E9"/>
    <w:rsid w:val="00176889"/>
    <w:rsid w:val="001926E1"/>
    <w:rsid w:val="00193A78"/>
    <w:rsid w:val="001E4F4F"/>
    <w:rsid w:val="001F0DDE"/>
    <w:rsid w:val="00203DF5"/>
    <w:rsid w:val="002542C8"/>
    <w:rsid w:val="002C323D"/>
    <w:rsid w:val="002E4B9F"/>
    <w:rsid w:val="002F2A25"/>
    <w:rsid w:val="00357BD1"/>
    <w:rsid w:val="003748EC"/>
    <w:rsid w:val="004C603B"/>
    <w:rsid w:val="00543A90"/>
    <w:rsid w:val="00556284"/>
    <w:rsid w:val="005A423A"/>
    <w:rsid w:val="005D5766"/>
    <w:rsid w:val="00620666"/>
    <w:rsid w:val="00650B94"/>
    <w:rsid w:val="006871F9"/>
    <w:rsid w:val="0069450B"/>
    <w:rsid w:val="006F177E"/>
    <w:rsid w:val="00715D56"/>
    <w:rsid w:val="00716506"/>
    <w:rsid w:val="007642D1"/>
    <w:rsid w:val="007C3961"/>
    <w:rsid w:val="007E169A"/>
    <w:rsid w:val="007E6178"/>
    <w:rsid w:val="0087012B"/>
    <w:rsid w:val="0089538E"/>
    <w:rsid w:val="008E6962"/>
    <w:rsid w:val="00977E8A"/>
    <w:rsid w:val="00992AD2"/>
    <w:rsid w:val="00A0303A"/>
    <w:rsid w:val="00A375F6"/>
    <w:rsid w:val="00A42187"/>
    <w:rsid w:val="00A75C69"/>
    <w:rsid w:val="00AC073E"/>
    <w:rsid w:val="00C4070C"/>
    <w:rsid w:val="00C53F9E"/>
    <w:rsid w:val="00C8055C"/>
    <w:rsid w:val="00C96CD0"/>
    <w:rsid w:val="00CA055F"/>
    <w:rsid w:val="00CB6D74"/>
    <w:rsid w:val="00CC4956"/>
    <w:rsid w:val="00CE2AD9"/>
    <w:rsid w:val="00D134CD"/>
    <w:rsid w:val="00D4663A"/>
    <w:rsid w:val="00DC387E"/>
    <w:rsid w:val="00DE11EC"/>
    <w:rsid w:val="00DF2E95"/>
    <w:rsid w:val="00E359EF"/>
    <w:rsid w:val="00E91C20"/>
    <w:rsid w:val="00EB3CC7"/>
    <w:rsid w:val="00F2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FE3391-2872-4370-A8F8-C61BF7A78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B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BD1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7C396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7C3961"/>
    <w:pPr>
      <w:ind w:left="120"/>
    </w:pPr>
    <w:rPr>
      <w:rFonts w:ascii="Calibri" w:eastAsia="Calibri" w:hAnsi="Calibri" w:cs="Calibri"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rsid w:val="007C3961"/>
    <w:rPr>
      <w:rFonts w:ascii="Calibri" w:eastAsia="Calibri" w:hAnsi="Calibri" w:cs="Calibri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7C3961"/>
    <w:pPr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6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 zhao</dc:creator>
  <cp:keywords/>
  <dc:description/>
  <cp:lastModifiedBy>zhao jj</cp:lastModifiedBy>
  <cp:revision>26</cp:revision>
  <dcterms:created xsi:type="dcterms:W3CDTF">2017-07-20T16:25:00Z</dcterms:created>
  <dcterms:modified xsi:type="dcterms:W3CDTF">2019-06-23T03:30:00Z</dcterms:modified>
</cp:coreProperties>
</file>